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516DF" w14:textId="73DFF263" w:rsidR="00E3379E" w:rsidRPr="009576AB" w:rsidRDefault="00E3379E" w:rsidP="00E3379E">
      <w:pPr>
        <w:widowControl w:val="0"/>
        <w:tabs>
          <w:tab w:val="right" w:pos="9639"/>
        </w:tabs>
        <w:overflowPunct w:val="0"/>
        <w:autoSpaceDE w:val="0"/>
        <w:autoSpaceDN w:val="0"/>
        <w:adjustRightInd w:val="0"/>
        <w:spacing w:after="0"/>
        <w:jc w:val="both"/>
        <w:textAlignment w:val="baseline"/>
        <w:rPr>
          <w:rFonts w:ascii="Arial" w:hAnsi="Arial" w:cs="Arial"/>
          <w:b/>
          <w:bCs/>
          <w:i/>
          <w:sz w:val="24"/>
          <w:szCs w:val="24"/>
          <w:lang w:eastAsia="ja-JP"/>
        </w:rPr>
      </w:pPr>
      <w:bookmarkStart w:id="0" w:name="_Hlk519580081"/>
      <w:bookmarkStart w:id="1" w:name="_GoBack"/>
      <w:bookmarkEnd w:id="1"/>
      <w:r w:rsidRPr="009576AB">
        <w:rPr>
          <w:rFonts w:ascii="Arial" w:hAnsi="Arial" w:cs="Arial"/>
          <w:b/>
          <w:bCs/>
          <w:sz w:val="24"/>
          <w:szCs w:val="24"/>
          <w:lang w:eastAsia="ja-JP"/>
        </w:rPr>
        <w:t>3GPP TSG-RAN WG3 Meeting #111-e</w:t>
      </w:r>
      <w:r w:rsidRPr="009576AB">
        <w:rPr>
          <w:rFonts w:ascii="Arial" w:hAnsi="Arial" w:cs="Arial"/>
          <w:b/>
          <w:bCs/>
          <w:sz w:val="24"/>
          <w:szCs w:val="24"/>
          <w:lang w:eastAsia="ja-JP"/>
        </w:rPr>
        <w:tab/>
        <w:t>R3-21</w:t>
      </w:r>
      <w:r w:rsidR="00DF55A9">
        <w:rPr>
          <w:rFonts w:ascii="Arial" w:hAnsi="Arial" w:cs="Arial"/>
          <w:b/>
          <w:bCs/>
          <w:sz w:val="24"/>
          <w:szCs w:val="24"/>
          <w:lang w:eastAsia="ja-JP"/>
        </w:rPr>
        <w:t>0078</w:t>
      </w:r>
    </w:p>
    <w:bookmarkEnd w:id="0"/>
    <w:p w14:paraId="74BB3CDB" w14:textId="77777777" w:rsidR="00E3379E" w:rsidRPr="009576AB" w:rsidRDefault="00E3379E" w:rsidP="00E3379E">
      <w:pPr>
        <w:widowControl w:val="0"/>
        <w:tabs>
          <w:tab w:val="left" w:pos="2410"/>
        </w:tabs>
        <w:overflowPunct w:val="0"/>
        <w:autoSpaceDE w:val="0"/>
        <w:autoSpaceDN w:val="0"/>
        <w:adjustRightInd w:val="0"/>
        <w:spacing w:after="0"/>
        <w:textAlignment w:val="baseline"/>
        <w:rPr>
          <w:rFonts w:ascii="Arial" w:eastAsia="MS Mincho" w:hAnsi="Arial" w:cs="Arial"/>
          <w:b/>
          <w:noProof/>
          <w:sz w:val="24"/>
          <w:szCs w:val="24"/>
          <w:lang w:eastAsia="ja-JP"/>
        </w:rPr>
      </w:pPr>
      <w:r w:rsidRPr="009576AB">
        <w:rPr>
          <w:rFonts w:ascii="Arial" w:eastAsia="MS Mincho" w:hAnsi="Arial" w:cs="Arial"/>
          <w:b/>
          <w:noProof/>
          <w:sz w:val="24"/>
          <w:szCs w:val="24"/>
          <w:lang w:eastAsia="ja-JP"/>
        </w:rPr>
        <w:t>E-meeting, 25 Jan – 5 Feb 2021</w:t>
      </w:r>
    </w:p>
    <w:p w14:paraId="2F96B0BD" w14:textId="77777777" w:rsidR="002F2360" w:rsidRPr="009576AB" w:rsidRDefault="002F2360" w:rsidP="002F2360">
      <w:pPr>
        <w:pStyle w:val="Header"/>
        <w:tabs>
          <w:tab w:val="left" w:pos="2410"/>
        </w:tabs>
        <w:rPr>
          <w:bCs/>
          <w:noProof w:val="0"/>
          <w:sz w:val="24"/>
        </w:rPr>
      </w:pPr>
    </w:p>
    <w:p w14:paraId="430718D4" w14:textId="17F8170C" w:rsidR="002F2360" w:rsidRPr="009576AB" w:rsidRDefault="002F2360" w:rsidP="002F2360">
      <w:pPr>
        <w:pStyle w:val="CRCoverPage"/>
        <w:tabs>
          <w:tab w:val="left" w:pos="1985"/>
          <w:tab w:val="left" w:pos="2410"/>
        </w:tabs>
        <w:rPr>
          <w:rFonts w:cs="Arial"/>
          <w:b/>
          <w:bCs/>
          <w:sz w:val="24"/>
          <w:lang w:eastAsia="ja-JP"/>
        </w:rPr>
      </w:pPr>
      <w:r w:rsidRPr="009576AB">
        <w:rPr>
          <w:rFonts w:cs="Arial"/>
          <w:b/>
          <w:bCs/>
          <w:sz w:val="24"/>
        </w:rPr>
        <w:t>Agenda item:</w:t>
      </w:r>
      <w:r w:rsidRPr="009576AB">
        <w:rPr>
          <w:rFonts w:cs="Arial"/>
          <w:b/>
          <w:bCs/>
          <w:sz w:val="24"/>
        </w:rPr>
        <w:tab/>
      </w:r>
      <w:r w:rsidR="00DF55A9">
        <w:rPr>
          <w:rFonts w:cs="Arial"/>
          <w:b/>
          <w:bCs/>
          <w:sz w:val="24"/>
        </w:rPr>
        <w:t>10.2.4</w:t>
      </w:r>
    </w:p>
    <w:p w14:paraId="02505283" w14:textId="77777777" w:rsidR="002F2360" w:rsidRPr="009576AB" w:rsidRDefault="002F2360" w:rsidP="002F2360">
      <w:pPr>
        <w:tabs>
          <w:tab w:val="left" w:pos="1985"/>
          <w:tab w:val="left" w:pos="2410"/>
        </w:tabs>
        <w:ind w:left="1985" w:hanging="1985"/>
        <w:rPr>
          <w:rFonts w:ascii="Arial" w:hAnsi="Arial" w:cs="Arial"/>
          <w:b/>
          <w:bCs/>
          <w:sz w:val="24"/>
        </w:rPr>
      </w:pPr>
      <w:r w:rsidRPr="009576AB">
        <w:rPr>
          <w:rFonts w:ascii="Arial" w:hAnsi="Arial" w:cs="Arial"/>
          <w:b/>
          <w:bCs/>
          <w:sz w:val="24"/>
        </w:rPr>
        <w:t>Source:</w:t>
      </w:r>
      <w:r w:rsidRPr="009576AB">
        <w:rPr>
          <w:rFonts w:ascii="Arial" w:hAnsi="Arial" w:cs="Arial"/>
          <w:b/>
          <w:bCs/>
          <w:sz w:val="24"/>
        </w:rPr>
        <w:tab/>
        <w:t xml:space="preserve">Nokia, </w:t>
      </w:r>
      <w:r w:rsidRPr="009576AB">
        <w:rPr>
          <w:rFonts w:ascii="Arial" w:hAnsi="Arial" w:cs="Arial"/>
          <w:b/>
          <w:bCs/>
          <w:sz w:val="24"/>
          <w:lang w:eastAsia="ja-JP"/>
        </w:rPr>
        <w:t xml:space="preserve">Nokia </w:t>
      </w:r>
      <w:r w:rsidRPr="009576AB">
        <w:rPr>
          <w:rFonts w:ascii="Arial" w:hAnsi="Arial" w:cs="Arial"/>
          <w:b/>
          <w:bCs/>
          <w:sz w:val="24"/>
        </w:rPr>
        <w:t>Shanghai Bell</w:t>
      </w:r>
    </w:p>
    <w:p w14:paraId="5E7A28BB" w14:textId="01EF7073" w:rsidR="00CD4C7B" w:rsidRPr="009576AB" w:rsidRDefault="00CD4C7B" w:rsidP="00EE13A8">
      <w:pPr>
        <w:tabs>
          <w:tab w:val="left" w:pos="2410"/>
        </w:tabs>
        <w:ind w:left="1985" w:hanging="1985"/>
        <w:rPr>
          <w:rFonts w:ascii="Arial" w:hAnsi="Arial" w:cs="Arial"/>
          <w:b/>
          <w:bCs/>
          <w:sz w:val="24"/>
        </w:rPr>
      </w:pPr>
      <w:r w:rsidRPr="009576AB">
        <w:rPr>
          <w:rFonts w:ascii="Arial" w:hAnsi="Arial" w:cs="Arial"/>
          <w:b/>
          <w:bCs/>
          <w:sz w:val="24"/>
        </w:rPr>
        <w:t>Title:</w:t>
      </w:r>
      <w:r w:rsidRPr="009576AB">
        <w:rPr>
          <w:rFonts w:ascii="Arial" w:hAnsi="Arial" w:cs="Arial"/>
          <w:b/>
          <w:bCs/>
          <w:sz w:val="24"/>
        </w:rPr>
        <w:tab/>
      </w:r>
      <w:r w:rsidR="00812DC7" w:rsidRPr="009576AB">
        <w:rPr>
          <w:rFonts w:ascii="Arial" w:hAnsi="Arial" w:cs="Arial"/>
          <w:b/>
          <w:bCs/>
          <w:sz w:val="24"/>
        </w:rPr>
        <w:t xml:space="preserve">Additional </w:t>
      </w:r>
      <w:r w:rsidR="00DF55A9">
        <w:rPr>
          <w:rFonts w:ascii="Arial" w:hAnsi="Arial" w:cs="Arial"/>
          <w:b/>
          <w:bCs/>
          <w:sz w:val="24"/>
        </w:rPr>
        <w:t xml:space="preserve">method for the </w:t>
      </w:r>
      <w:r w:rsidR="00812DC7" w:rsidRPr="009576AB">
        <w:rPr>
          <w:rFonts w:ascii="Arial" w:hAnsi="Arial" w:cs="Arial"/>
          <w:b/>
          <w:bCs/>
          <w:sz w:val="24"/>
        </w:rPr>
        <w:t>inter-RAT load information exchange</w:t>
      </w:r>
    </w:p>
    <w:p w14:paraId="0F79702C" w14:textId="0AE6489D" w:rsidR="00CD4C7B" w:rsidRPr="009576AB" w:rsidRDefault="00CD4C7B" w:rsidP="00EE13A8">
      <w:pPr>
        <w:tabs>
          <w:tab w:val="left" w:pos="1985"/>
          <w:tab w:val="left" w:pos="2410"/>
        </w:tabs>
        <w:rPr>
          <w:rFonts w:ascii="Arial" w:hAnsi="Arial" w:cs="Arial"/>
          <w:b/>
          <w:bCs/>
          <w:sz w:val="24"/>
        </w:rPr>
      </w:pPr>
      <w:r w:rsidRPr="009576AB">
        <w:rPr>
          <w:rFonts w:ascii="Arial" w:hAnsi="Arial" w:cs="Arial"/>
          <w:b/>
          <w:bCs/>
          <w:sz w:val="24"/>
        </w:rPr>
        <w:t>Document for:</w:t>
      </w:r>
      <w:r w:rsidRPr="009576AB">
        <w:rPr>
          <w:rFonts w:ascii="Arial" w:hAnsi="Arial" w:cs="Arial"/>
          <w:b/>
          <w:bCs/>
          <w:sz w:val="24"/>
        </w:rPr>
        <w:tab/>
        <w:t>Discussion</w:t>
      </w:r>
    </w:p>
    <w:p w14:paraId="3F7C60B7" w14:textId="77777777" w:rsidR="00AB30AE" w:rsidRPr="009576AB" w:rsidRDefault="00AB30AE" w:rsidP="00EE13A8">
      <w:pPr>
        <w:tabs>
          <w:tab w:val="left" w:pos="1985"/>
          <w:tab w:val="left" w:pos="2410"/>
        </w:tabs>
        <w:rPr>
          <w:rFonts w:ascii="Arial" w:hAnsi="Arial" w:cs="Arial"/>
          <w:bCs/>
          <w:sz w:val="24"/>
        </w:rPr>
      </w:pPr>
    </w:p>
    <w:p w14:paraId="40D0F11F" w14:textId="3CF2C848" w:rsidR="00CD4C7B" w:rsidRPr="009576AB" w:rsidRDefault="00CD4C7B" w:rsidP="00EE13A8">
      <w:pPr>
        <w:pStyle w:val="Heading1"/>
        <w:tabs>
          <w:tab w:val="left" w:pos="2410"/>
        </w:tabs>
      </w:pPr>
      <w:r w:rsidRPr="009576AB">
        <w:t>1</w:t>
      </w:r>
      <w:r w:rsidRPr="009576AB">
        <w:tab/>
      </w:r>
      <w:r w:rsidR="0056573F" w:rsidRPr="009576AB">
        <w:t>Introduction</w:t>
      </w:r>
    </w:p>
    <w:p w14:paraId="4CAD8B08" w14:textId="4E509880" w:rsidR="005E3D0F" w:rsidRPr="009576AB" w:rsidRDefault="00812DC7" w:rsidP="008572DC">
      <w:bookmarkStart w:id="2" w:name="_Toc474247438"/>
      <w:r w:rsidRPr="009576AB">
        <w:t>The discussion on load balancing between LTE and NR allowed for the following agreements so far:</w:t>
      </w:r>
    </w:p>
    <w:p w14:paraId="04F7577F" w14:textId="6CCC346C" w:rsidR="00812DC7" w:rsidRPr="009576AB" w:rsidRDefault="00812DC7" w:rsidP="00812DC7">
      <w:pPr>
        <w:pStyle w:val="ListParagraph"/>
        <w:numPr>
          <w:ilvl w:val="0"/>
          <w:numId w:val="38"/>
        </w:numPr>
        <w:rPr>
          <w:lang w:val="en-GB"/>
        </w:rPr>
      </w:pPr>
      <w:r w:rsidRPr="009576AB">
        <w:rPr>
          <w:lang w:val="en-GB"/>
        </w:rPr>
        <w:t>The load information will be at least the composite available capacity.</w:t>
      </w:r>
    </w:p>
    <w:p w14:paraId="71041635" w14:textId="2A3F7B69" w:rsidR="00812DC7" w:rsidRPr="009576AB" w:rsidRDefault="00812DC7" w:rsidP="00812DC7">
      <w:pPr>
        <w:pStyle w:val="ListParagraph"/>
        <w:numPr>
          <w:ilvl w:val="0"/>
          <w:numId w:val="38"/>
        </w:numPr>
        <w:rPr>
          <w:lang w:val="en-GB"/>
        </w:rPr>
      </w:pPr>
      <w:r w:rsidRPr="009576AB">
        <w:rPr>
          <w:lang w:val="en-GB"/>
        </w:rPr>
        <w:t xml:space="preserve">The load information will be </w:t>
      </w:r>
      <w:proofErr w:type="spellStart"/>
      <w:r w:rsidRPr="009576AB">
        <w:rPr>
          <w:lang w:val="en-GB"/>
        </w:rPr>
        <w:t>signaled</w:t>
      </w:r>
      <w:proofErr w:type="spellEnd"/>
      <w:r w:rsidRPr="009576AB">
        <w:rPr>
          <w:lang w:val="en-GB"/>
        </w:rPr>
        <w:t xml:space="preserve"> using the eNB CONFIGURATION TRANSFER, MME CONFIGURATION TRANSFER, UL RAN CONFIGURATION TRANSFER and DL RAN CONFIGURATION TRANSFER messages on S1AP and NGAP.</w:t>
      </w:r>
    </w:p>
    <w:p w14:paraId="606E3206" w14:textId="2F6540AF" w:rsidR="00812DC7" w:rsidRPr="009576AB" w:rsidRDefault="00812DC7" w:rsidP="00812DC7">
      <w:pPr>
        <w:pStyle w:val="ListParagraph"/>
        <w:numPr>
          <w:ilvl w:val="0"/>
          <w:numId w:val="38"/>
        </w:numPr>
        <w:rPr>
          <w:lang w:val="en-GB"/>
        </w:rPr>
      </w:pPr>
      <w:r w:rsidRPr="009576AB">
        <w:rPr>
          <w:lang w:val="en-GB"/>
        </w:rPr>
        <w:t xml:space="preserve">The mechanism will be either periodical or </w:t>
      </w:r>
      <w:proofErr w:type="gramStart"/>
      <w:r w:rsidRPr="009576AB">
        <w:rPr>
          <w:lang w:val="en-GB"/>
        </w:rPr>
        <w:t>threshold-based</w:t>
      </w:r>
      <w:proofErr w:type="gramEnd"/>
      <w:r w:rsidRPr="009576AB">
        <w:rPr>
          <w:lang w:val="en-GB"/>
        </w:rPr>
        <w:t>.</w:t>
      </w:r>
    </w:p>
    <w:p w14:paraId="5A6F37D7" w14:textId="345FCC2F" w:rsidR="00812DC7" w:rsidRPr="009576AB" w:rsidRDefault="00812DC7" w:rsidP="008572DC">
      <w:r w:rsidRPr="009576AB">
        <w:t>It is still open if the above set of agreements is exhaustive.</w:t>
      </w:r>
    </w:p>
    <w:p w14:paraId="309917E7" w14:textId="77777777" w:rsidR="00051152" w:rsidRPr="009576AB" w:rsidRDefault="00BE5235" w:rsidP="00051152">
      <w:pPr>
        <w:pStyle w:val="Heading1"/>
        <w:tabs>
          <w:tab w:val="left" w:pos="2410"/>
        </w:tabs>
      </w:pPr>
      <w:r w:rsidRPr="009576AB">
        <w:t>2</w:t>
      </w:r>
      <w:r w:rsidR="00051152" w:rsidRPr="009576AB">
        <w:tab/>
      </w:r>
      <w:r w:rsidRPr="009576AB">
        <w:t>Discussion</w:t>
      </w:r>
    </w:p>
    <w:bookmarkEnd w:id="2"/>
    <w:p w14:paraId="0D63C18A" w14:textId="5DA457C3" w:rsidR="001577BF" w:rsidRPr="009576AB" w:rsidRDefault="00160D87" w:rsidP="00160D87">
      <w:pPr>
        <w:pStyle w:val="Heading2"/>
      </w:pPr>
      <w:r w:rsidRPr="009576AB">
        <w:t>2.1</w:t>
      </w:r>
      <w:r w:rsidRPr="009576AB">
        <w:tab/>
        <w:t>Load information</w:t>
      </w:r>
    </w:p>
    <w:p w14:paraId="04C7AE82" w14:textId="41E08AC6" w:rsidR="00160D87" w:rsidRPr="009576AB" w:rsidRDefault="004C3F20" w:rsidP="00AA4AF2">
      <w:r w:rsidRPr="009576AB">
        <w:t xml:space="preserve">The composite available capacity is agreed to be used because it is used and thus is implemented in both, the LTE and the NR. Also, percentage-based value is comprehensive irrespectively from the radio </w:t>
      </w:r>
      <w:proofErr w:type="gramStart"/>
      <w:r w:rsidRPr="009576AB">
        <w:t>interface, and</w:t>
      </w:r>
      <w:proofErr w:type="gramEnd"/>
      <w:r w:rsidRPr="009576AB">
        <w:t xml:space="preserve"> takes into account any other limitations at the reporting node. A problem is, however, mapping of the percentage value on actual radio resources: eNBs and </w:t>
      </w:r>
      <w:proofErr w:type="spellStart"/>
      <w:r w:rsidRPr="009576AB">
        <w:t>gNBs</w:t>
      </w:r>
      <w:proofErr w:type="spellEnd"/>
      <w:r w:rsidRPr="009576AB">
        <w:t xml:space="preserve"> do not exchange the total capacity (unless configured to operate in DC mode) and therefore can’t easily recalculate the percentage into the available PRBs. </w:t>
      </w:r>
    </w:p>
    <w:p w14:paraId="5E38AE5C" w14:textId="086C8AFC" w:rsidR="009576AB" w:rsidRPr="009576AB" w:rsidRDefault="009576AB" w:rsidP="00AA4AF2">
      <w:pPr>
        <w:rPr>
          <w:b/>
          <w:bCs/>
        </w:rPr>
      </w:pPr>
      <w:r w:rsidRPr="009576AB">
        <w:rPr>
          <w:b/>
          <w:bCs/>
        </w:rPr>
        <w:t>Observation 1: In case of inter-RAT load reporting based on the composite available capacity, the actual amount of resources available for MLB can’t be easily calculated.</w:t>
      </w:r>
    </w:p>
    <w:p w14:paraId="562B7C78" w14:textId="2BF68A12" w:rsidR="009576AB" w:rsidRDefault="009576AB" w:rsidP="00AA4AF2">
      <w:r w:rsidRPr="009576AB">
        <w:t xml:space="preserve">On the other hand, however, one may observe that if actual number of available resources is critical, the agreed mechanism would have to be made much more accurate. Currently, </w:t>
      </w:r>
      <w:r>
        <w:t>the</w:t>
      </w:r>
      <w:r w:rsidRPr="009576AB">
        <w:t xml:space="preserve"> threshold-based reporting </w:t>
      </w:r>
      <w:r>
        <w:t>and</w:t>
      </w:r>
      <w:r w:rsidRPr="009576AB">
        <w:t xml:space="preserve"> the periodic reporting with </w:t>
      </w:r>
      <w:r>
        <w:t xml:space="preserve">large interval and </w:t>
      </w:r>
      <w:r w:rsidRPr="009576AB">
        <w:t xml:space="preserve">significant signalling </w:t>
      </w:r>
      <w:r>
        <w:t>delay are too slow to offer up-to-date information.</w:t>
      </w:r>
    </w:p>
    <w:p w14:paraId="2C1B96A1" w14:textId="304F5F88" w:rsidR="009576AB" w:rsidRPr="009576AB" w:rsidRDefault="009576AB" w:rsidP="00AA4AF2">
      <w:pPr>
        <w:rPr>
          <w:b/>
          <w:bCs/>
        </w:rPr>
      </w:pPr>
      <w:r w:rsidRPr="009576AB">
        <w:rPr>
          <w:b/>
          <w:bCs/>
        </w:rPr>
        <w:t>Observation 2: The current mechanisms can’t offer up-to-date load information irrespectively of the used quantity.</w:t>
      </w:r>
    </w:p>
    <w:p w14:paraId="7E5DBA25" w14:textId="335A24AB" w:rsidR="009576AB" w:rsidRDefault="009576AB" w:rsidP="00AA4AF2">
      <w:r>
        <w:t xml:space="preserve">Other values that were proposed to be signalled are e.g. the number of RRC connections or TNL load. The number of current RRC connections is supposed to offer information on processing load that is partially independent from the services employed. The TNL load offers information on the backbone limits. </w:t>
      </w:r>
    </w:p>
    <w:p w14:paraId="243D7B3B" w14:textId="2ED857C8" w:rsidR="009576AB" w:rsidRDefault="009576AB" w:rsidP="00AA4AF2">
      <w:r>
        <w:t xml:space="preserve">It has to be observed though that neither of the </w:t>
      </w:r>
      <w:r w:rsidR="004B73B1">
        <w:t>additional quantities offer extra information beyond of what is included in the composite available capacity: the number of RRC connections can’t be interpreted if the total limit is not known; TNL load, if provided in LTE fashion (4 codepoints) is very rudimentary – and should be included in the available capacity information. Also, TNL load information in LTE and in NR is different, which increases complexity for the implementation.</w:t>
      </w:r>
    </w:p>
    <w:p w14:paraId="0967B9EF" w14:textId="4CEF2D9A" w:rsidR="004B73B1" w:rsidRPr="004B73B1" w:rsidRDefault="004B73B1" w:rsidP="00AA4AF2">
      <w:pPr>
        <w:rPr>
          <w:b/>
          <w:bCs/>
        </w:rPr>
      </w:pPr>
      <w:r w:rsidRPr="004B73B1">
        <w:rPr>
          <w:b/>
          <w:bCs/>
        </w:rPr>
        <w:t>Observation 3: The number of RRC connections does not offer much information if the upper limit of the other RAT is not known. The TNL load information is different in LTE and in NR thus causing extra implementation burden; it should instead be included in the Composite Available Capacity.</w:t>
      </w:r>
    </w:p>
    <w:p w14:paraId="7F12DFB2" w14:textId="6EC40D6B" w:rsidR="004B73B1" w:rsidRPr="009576AB" w:rsidRDefault="004B73B1" w:rsidP="00AA4AF2">
      <w:r>
        <w:lastRenderedPageBreak/>
        <w:t>The above analysis indicates that at this moment the only possibly needed information is the reference for the composite available capacity. It is not needed urgently though: the reporting mechanism does not allow for efficient use of the available capacity anyway. Therefore, the mechanism should be made extendable if new quantities are identified in future, but in Rel.17 based on the composite available capacity alone.</w:t>
      </w:r>
    </w:p>
    <w:p w14:paraId="29E4CDA2" w14:textId="033B6CF7" w:rsidR="001577BF" w:rsidRPr="009576AB" w:rsidRDefault="001577BF" w:rsidP="00AA4AF2">
      <w:pPr>
        <w:rPr>
          <w:b/>
        </w:rPr>
      </w:pPr>
      <w:r w:rsidRPr="009576AB">
        <w:rPr>
          <w:b/>
        </w:rPr>
        <w:t xml:space="preserve">Proposal: </w:t>
      </w:r>
      <w:r w:rsidR="004B73B1">
        <w:rPr>
          <w:b/>
        </w:rPr>
        <w:t xml:space="preserve">1: In Rel.17, the Composite Available Capacity seems </w:t>
      </w:r>
      <w:proofErr w:type="gramStart"/>
      <w:r w:rsidR="004B73B1">
        <w:rPr>
          <w:b/>
        </w:rPr>
        <w:t>sufficient</w:t>
      </w:r>
      <w:proofErr w:type="gramEnd"/>
      <w:r w:rsidR="004B73B1">
        <w:rPr>
          <w:b/>
        </w:rPr>
        <w:t xml:space="preserve"> – other proposed quantities do not seem to offer extra information. However, the mechanism is to be extendable if additional quantities are identified later.</w:t>
      </w:r>
    </w:p>
    <w:p w14:paraId="6D627968" w14:textId="52E7FBEB" w:rsidR="007D67F0" w:rsidRPr="009576AB" w:rsidRDefault="007D67F0" w:rsidP="007D67F0">
      <w:pPr>
        <w:pStyle w:val="Heading2"/>
      </w:pPr>
      <w:r w:rsidRPr="009576AB">
        <w:t>2.</w:t>
      </w:r>
      <w:r>
        <w:t>2</w:t>
      </w:r>
      <w:r w:rsidRPr="009576AB">
        <w:tab/>
      </w:r>
      <w:r>
        <w:t>Reporting mechanism</w:t>
      </w:r>
    </w:p>
    <w:p w14:paraId="4F4F52F9" w14:textId="2DE8E035" w:rsidR="00076BDF" w:rsidRDefault="007D67F0" w:rsidP="007D67F0">
      <w:r>
        <w:t xml:space="preserve">Currently, two mechanisms are assumed to be used: a threshold-based and a periodic one. </w:t>
      </w:r>
      <w:r w:rsidR="00076BDF">
        <w:t xml:space="preserve">Especially the latter may possibly be cumbersome: even 1s periodicity will cause signalling load increase in the core network. Therefore, another option may be considered, discussed already at the early LTE development phases: appending load information to the HO signalling. When it was considered first, the main benefit was that it offered load information without extra signalling and that the information was the more </w:t>
      </w:r>
      <w:proofErr w:type="gramStart"/>
      <w:r w:rsidR="00076BDF">
        <w:t>up-to-date</w:t>
      </w:r>
      <w:proofErr w:type="gramEnd"/>
      <w:r w:rsidR="00076BDF">
        <w:t xml:space="preserve"> the higher load was in the network (and thus more HOs). </w:t>
      </w:r>
    </w:p>
    <w:p w14:paraId="59EE2360" w14:textId="2DA00B68" w:rsidR="00076BDF" w:rsidRDefault="00076BDF" w:rsidP="007D67F0">
      <w:r>
        <w:t xml:space="preserve">If such mechanism is considered for the LTE-NR load reporting, the mechanism may be implemented instead or in parallel to the periodic reporting: </w:t>
      </w:r>
      <w:r w:rsidR="00035C74">
        <w:t>it could be an option for the node requesting load information.</w:t>
      </w:r>
    </w:p>
    <w:p w14:paraId="6FE2670D" w14:textId="3BB733AC" w:rsidR="00035C74" w:rsidRPr="00035C74" w:rsidRDefault="00035C74" w:rsidP="007D67F0">
      <w:pPr>
        <w:rPr>
          <w:b/>
          <w:bCs/>
        </w:rPr>
      </w:pPr>
      <w:r w:rsidRPr="00035C74">
        <w:rPr>
          <w:b/>
          <w:bCs/>
        </w:rPr>
        <w:t>Proposal 2: The HO-based load information should be considered instead of or in parallel to the periodic reporting.</w:t>
      </w:r>
    </w:p>
    <w:p w14:paraId="28E42E52" w14:textId="77777777" w:rsidR="000F16C4" w:rsidRPr="009576AB" w:rsidRDefault="00CD2620" w:rsidP="00E00CEF">
      <w:pPr>
        <w:pStyle w:val="Heading1"/>
      </w:pPr>
      <w:r w:rsidRPr="009576AB">
        <w:t>3</w:t>
      </w:r>
      <w:r w:rsidR="000F16C4" w:rsidRPr="009576AB">
        <w:tab/>
      </w:r>
      <w:r w:rsidRPr="009576AB">
        <w:t>Conclusions</w:t>
      </w:r>
    </w:p>
    <w:p w14:paraId="2C10ADBC" w14:textId="22004CB2" w:rsidR="00A15228" w:rsidRDefault="00DF55A9" w:rsidP="006A43F7">
      <w:pPr>
        <w:jc w:val="both"/>
        <w:rPr>
          <w:bCs/>
        </w:rPr>
      </w:pPr>
      <w:r>
        <w:rPr>
          <w:bCs/>
        </w:rPr>
        <w:t>In this paper, we reviewed the proposed additional information that could be exchanged for the inter-RAT MLB. We made following observations:</w:t>
      </w:r>
    </w:p>
    <w:p w14:paraId="53BBD810" w14:textId="43A45EEC" w:rsidR="00DF55A9" w:rsidRPr="00DF55A9" w:rsidRDefault="00DF55A9" w:rsidP="00DF55A9">
      <w:pPr>
        <w:pStyle w:val="ListParagraph"/>
        <w:numPr>
          <w:ilvl w:val="0"/>
          <w:numId w:val="39"/>
        </w:numPr>
        <w:jc w:val="both"/>
        <w:rPr>
          <w:bCs/>
        </w:rPr>
      </w:pPr>
      <w:r w:rsidRPr="00DF55A9">
        <w:rPr>
          <w:bCs/>
        </w:rPr>
        <w:t>In case of inter-RAT load reporting based on the composite available capacity, the actual amount of resources available for MLB can’t be easily calculated.</w:t>
      </w:r>
    </w:p>
    <w:p w14:paraId="685CBDDE" w14:textId="13DA4AB2" w:rsidR="00DF55A9" w:rsidRPr="00DF55A9" w:rsidRDefault="00DF55A9" w:rsidP="00DF55A9">
      <w:pPr>
        <w:pStyle w:val="ListParagraph"/>
        <w:numPr>
          <w:ilvl w:val="0"/>
          <w:numId w:val="39"/>
        </w:numPr>
        <w:jc w:val="both"/>
        <w:rPr>
          <w:bCs/>
        </w:rPr>
      </w:pPr>
      <w:r w:rsidRPr="00DF55A9">
        <w:rPr>
          <w:bCs/>
        </w:rPr>
        <w:t>The current mechanisms can’t offer up-to-date load information irrespectively of the used quantity.</w:t>
      </w:r>
    </w:p>
    <w:p w14:paraId="008B0390" w14:textId="5F89449A" w:rsidR="00DF55A9" w:rsidRPr="00DF55A9" w:rsidRDefault="00DF55A9" w:rsidP="00DF55A9">
      <w:pPr>
        <w:pStyle w:val="ListParagraph"/>
        <w:numPr>
          <w:ilvl w:val="0"/>
          <w:numId w:val="39"/>
        </w:numPr>
        <w:jc w:val="both"/>
        <w:rPr>
          <w:bCs/>
        </w:rPr>
      </w:pPr>
      <w:r w:rsidRPr="00DF55A9">
        <w:rPr>
          <w:bCs/>
        </w:rPr>
        <w:t>The number of RRC connections does not offer much information if the upper limit of the other RAT is not known. The TNL load information is different in LTE and in NR thus causing extra implementation burden; it should instead be included in the Composite Available Capacity.</w:t>
      </w:r>
    </w:p>
    <w:p w14:paraId="3019A60E" w14:textId="798AB0C2" w:rsidR="00DF55A9" w:rsidRDefault="00DF55A9" w:rsidP="00DF55A9">
      <w:pPr>
        <w:jc w:val="both"/>
        <w:rPr>
          <w:bCs/>
        </w:rPr>
      </w:pPr>
      <w:r>
        <w:rPr>
          <w:bCs/>
        </w:rPr>
        <w:t>Based on these, we propose what follows:</w:t>
      </w:r>
    </w:p>
    <w:p w14:paraId="36B3A726" w14:textId="5EC93607" w:rsidR="00DF55A9" w:rsidRPr="00DF55A9" w:rsidRDefault="00DF55A9" w:rsidP="00DF55A9">
      <w:pPr>
        <w:pStyle w:val="ListParagraph"/>
        <w:numPr>
          <w:ilvl w:val="0"/>
          <w:numId w:val="40"/>
        </w:numPr>
        <w:jc w:val="both"/>
        <w:rPr>
          <w:bCs/>
        </w:rPr>
      </w:pPr>
      <w:r w:rsidRPr="00DF55A9">
        <w:rPr>
          <w:bCs/>
        </w:rPr>
        <w:t xml:space="preserve">In Rel.17, the Composite Available Capacity seems </w:t>
      </w:r>
      <w:proofErr w:type="gramStart"/>
      <w:r w:rsidRPr="00DF55A9">
        <w:rPr>
          <w:bCs/>
        </w:rPr>
        <w:t>sufficient</w:t>
      </w:r>
      <w:proofErr w:type="gramEnd"/>
      <w:r w:rsidRPr="00DF55A9">
        <w:rPr>
          <w:bCs/>
        </w:rPr>
        <w:t xml:space="preserve"> – other proposed quantities do not seem to offer extra information. However, the mechanism is to be extendable if additional quantities are identified later.</w:t>
      </w:r>
    </w:p>
    <w:p w14:paraId="58AC023A" w14:textId="682A8FEB" w:rsidR="00DF55A9" w:rsidRPr="00DF55A9" w:rsidRDefault="00DF55A9" w:rsidP="00DF55A9">
      <w:pPr>
        <w:pStyle w:val="ListParagraph"/>
        <w:numPr>
          <w:ilvl w:val="0"/>
          <w:numId w:val="40"/>
        </w:numPr>
        <w:jc w:val="both"/>
        <w:rPr>
          <w:bCs/>
        </w:rPr>
      </w:pPr>
      <w:r w:rsidRPr="00DF55A9">
        <w:rPr>
          <w:bCs/>
        </w:rPr>
        <w:t>The HO-based load information should be considered instead of or in parallel to the periodic reporting.</w:t>
      </w:r>
    </w:p>
    <w:p w14:paraId="01293442" w14:textId="77777777" w:rsidR="0022219E" w:rsidRPr="009576AB" w:rsidRDefault="0022219E" w:rsidP="0022219E">
      <w:pPr>
        <w:overflowPunct w:val="0"/>
        <w:autoSpaceDE w:val="0"/>
        <w:autoSpaceDN w:val="0"/>
        <w:adjustRightInd w:val="0"/>
        <w:textAlignment w:val="baseline"/>
      </w:pPr>
    </w:p>
    <w:sectPr w:rsidR="0022219E" w:rsidRPr="009576A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141A8" w14:textId="77777777" w:rsidR="00D5398D" w:rsidRDefault="00D5398D">
      <w:r>
        <w:separator/>
      </w:r>
    </w:p>
  </w:endnote>
  <w:endnote w:type="continuationSeparator" w:id="0">
    <w:p w14:paraId="1D555CED" w14:textId="77777777" w:rsidR="00D5398D" w:rsidRDefault="00D5398D">
      <w:r>
        <w:continuationSeparator/>
      </w:r>
    </w:p>
  </w:endnote>
  <w:endnote w:type="continuationNotice" w:id="1">
    <w:p w14:paraId="553ACAA4" w14:textId="77777777" w:rsidR="00D5398D" w:rsidRDefault="00D53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59F6F" w14:textId="77777777" w:rsidR="00D5398D" w:rsidRDefault="00D5398D">
      <w:r>
        <w:separator/>
      </w:r>
    </w:p>
  </w:footnote>
  <w:footnote w:type="continuationSeparator" w:id="0">
    <w:p w14:paraId="258FDCA4" w14:textId="77777777" w:rsidR="00D5398D" w:rsidRDefault="00D5398D">
      <w:r>
        <w:continuationSeparator/>
      </w:r>
    </w:p>
  </w:footnote>
  <w:footnote w:type="continuationNotice" w:id="1">
    <w:p w14:paraId="5C51BA68" w14:textId="77777777" w:rsidR="00D5398D" w:rsidRDefault="00D539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DE35FC0"/>
    <w:multiLevelType w:val="hybridMultilevel"/>
    <w:tmpl w:val="0BF4E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971E41"/>
    <w:multiLevelType w:val="hybridMultilevel"/>
    <w:tmpl w:val="C73AAE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7C864FD"/>
    <w:multiLevelType w:val="hybridMultilevel"/>
    <w:tmpl w:val="06ECF3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5"/>
  </w:num>
  <w:num w:numId="4">
    <w:abstractNumId w:val="9"/>
  </w:num>
  <w:num w:numId="5">
    <w:abstractNumId w:val="10"/>
  </w:num>
  <w:num w:numId="6">
    <w:abstractNumId w:val="39"/>
  </w:num>
  <w:num w:numId="7">
    <w:abstractNumId w:val="26"/>
  </w:num>
  <w:num w:numId="8">
    <w:abstractNumId w:val="16"/>
  </w:num>
  <w:num w:numId="9">
    <w:abstractNumId w:val="38"/>
  </w:num>
  <w:num w:numId="10">
    <w:abstractNumId w:val="25"/>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1"/>
  </w:num>
  <w:num w:numId="28">
    <w:abstractNumId w:val="36"/>
  </w:num>
  <w:num w:numId="29">
    <w:abstractNumId w:val="37"/>
  </w:num>
  <w:num w:numId="30">
    <w:abstractNumId w:val="27"/>
  </w:num>
  <w:num w:numId="31">
    <w:abstractNumId w:val="24"/>
  </w:num>
  <w:num w:numId="32">
    <w:abstractNumId w:val="18"/>
  </w:num>
  <w:num w:numId="33">
    <w:abstractNumId w:val="29"/>
  </w:num>
  <w:num w:numId="34">
    <w:abstractNumId w:val="13"/>
  </w:num>
  <w:num w:numId="35">
    <w:abstractNumId w:val="11"/>
  </w:num>
  <w:num w:numId="36">
    <w:abstractNumId w:val="35"/>
  </w:num>
  <w:num w:numId="37">
    <w:abstractNumId w:val="23"/>
  </w:num>
  <w:num w:numId="38">
    <w:abstractNumId w:val="22"/>
  </w:num>
  <w:num w:numId="39">
    <w:abstractNumId w:val="31"/>
  </w:num>
  <w:num w:numId="4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C74"/>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76BDF"/>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0D87"/>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3B1"/>
    <w:rsid w:val="004B7849"/>
    <w:rsid w:val="004C206C"/>
    <w:rsid w:val="004C3944"/>
    <w:rsid w:val="004C3F20"/>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2C67"/>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7F0"/>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2DC7"/>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76AB"/>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1BFD"/>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1C4"/>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398D"/>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55A9"/>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79E"/>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34C1"/>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4BAF"/>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7F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ECA257F-9D38-4E7D-B277-A0917DC0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83</TotalTime>
  <Pages>2</Pages>
  <Words>804</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5623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method for the inter-RAT load information exchange</dc:title>
  <dc:subject>3GPP RAN3 #111-e</dc:subject>
  <dc:creator>Benoist Sébire</dc:creator>
  <cp:keywords>&lt;keyword[, keyword, ]&gt;</cp:keywords>
  <dc:description/>
  <cp:lastModifiedBy>Nokia</cp:lastModifiedBy>
  <cp:revision>32</cp:revision>
  <cp:lastPrinted>2019-03-27T07:16:00Z</cp:lastPrinted>
  <dcterms:created xsi:type="dcterms:W3CDTF">2019-10-03T12:07:00Z</dcterms:created>
  <dcterms:modified xsi:type="dcterms:W3CDTF">2021-01-14T13:15:00Z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